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3"/>
        <w:keepNext w:val="true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703"/>
        <w:framePr w:h="1440" w:hAnchor="page" w:hRule="atLeast" w:hSpace="38" w:vAnchor="text" w:wrap="notBeside" w:x="5723" w:y="1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КОМИССИЯ </w:t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703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АСПОРЯЖЕНИЕ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01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</w:t>
        <w:tab/>
        <w:t xml:space="preserve">                                                                                 г. Нижнекамск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rFonts w:eastAsia="Times New Roman"/>
          <w:bCs w:val="0"/>
          <w:sz w:val="28"/>
          <w:szCs w:val="28"/>
        </w:rPr>
      </w:pPr>
      <w:r>
        <w:rPr>
          <w:rFonts w:eastAsia="Times New Roman"/>
          <w:bCs w:val="0"/>
          <w:sz w:val="28"/>
          <w:szCs w:val="28"/>
        </w:rPr>
        <w:t xml:space="preserve">О дополнительных мерах</w:t>
      </w:r>
      <w:r>
        <w:rPr>
          <w:rFonts w:eastAsia="Times New Roman"/>
          <w:bCs w:val="0"/>
          <w:sz w:val="28"/>
          <w:szCs w:val="28"/>
        </w:rPr>
        <w:t xml:space="preserve"> </w:t>
      </w:r>
      <w:r>
        <w:rPr>
          <w:rFonts w:eastAsia="Times New Roman"/>
          <w:bCs w:val="0"/>
          <w:sz w:val="28"/>
          <w:szCs w:val="28"/>
        </w:rPr>
        <w:t xml:space="preserve">по обеспечению безопасности населения Нижнекамского муниципального района Республики Татарстан</w:t>
      </w:r>
      <w:r>
        <w:rPr>
          <w:rFonts w:eastAsia="Times New Roman"/>
          <w:bCs w:val="0"/>
          <w:sz w:val="28"/>
          <w:szCs w:val="28"/>
        </w:rPr>
        <w:t xml:space="preserve"> на водных объектах в период проведен</w:t>
      </w:r>
      <w:r>
        <w:rPr>
          <w:rFonts w:eastAsia="Times New Roman"/>
          <w:bCs w:val="0"/>
          <w:sz w:val="28"/>
          <w:szCs w:val="28"/>
        </w:rPr>
        <w:t xml:space="preserve">ия праздника «Крещения Господня»</w:t>
      </w:r>
      <w:r>
        <w:rPr>
          <w:rFonts w:eastAsia="Times New Roman"/>
          <w:bCs w:val="0"/>
          <w:sz w:val="28"/>
          <w:szCs w:val="28"/>
        </w:rPr>
      </w:r>
      <w:r>
        <w:rPr>
          <w:rFonts w:eastAsia="Times New Roman"/>
          <w:bCs w:val="0"/>
          <w:sz w:val="28"/>
          <w:szCs w:val="28"/>
        </w:rPr>
      </w:r>
    </w:p>
    <w:p>
      <w:pPr>
        <w:pStyle w:val="721"/>
        <w:keepNext w:val="true"/>
        <w:keepLines w:val="true"/>
        <w:pBdr/>
        <w:shd w:val="clear" w:color="auto" w:fill="auto"/>
        <w:spacing w:line="240" w:lineRule="auto"/>
        <w:ind w:right="57" w:left="-181"/>
        <w:jc w:val="center"/>
        <w:rPr>
          <w:rFonts w:eastAsia="Times New Roman"/>
          <w:bCs w:val="0"/>
          <w:color w:val="052635"/>
          <w:sz w:val="28"/>
          <w:szCs w:val="28"/>
        </w:rPr>
      </w:pPr>
      <w:r>
        <w:rPr>
          <w:rFonts w:eastAsia="Times New Roman"/>
          <w:bCs w:val="0"/>
          <w:color w:val="052635"/>
          <w:sz w:val="28"/>
          <w:szCs w:val="28"/>
        </w:rPr>
      </w:r>
      <w:r>
        <w:rPr>
          <w:rFonts w:eastAsia="Times New Roman"/>
          <w:bCs w:val="0"/>
          <w:color w:val="052635"/>
          <w:sz w:val="28"/>
          <w:szCs w:val="28"/>
        </w:rPr>
      </w:r>
    </w:p>
    <w:p>
      <w:pPr>
        <w:pStyle w:val="710"/>
        <w:pBdr/>
        <w:shd w:val="clear" w:color="auto" w:fill="auto"/>
        <w:spacing w:after="0" w:before="0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ночь с 18 на 19 января православный мир отмечает пра</w:t>
      </w:r>
      <w:r>
        <w:rPr>
          <w:sz w:val="28"/>
          <w:szCs w:val="28"/>
        </w:rPr>
        <w:t xml:space="preserve">здник Крещения Господня. Накануне и в день Крещения Господня во всех православных храмах совершается обряд освещения воды. Традиционно в этот день тысячи верующих устремляются к природным источникам, чтобы искупаться в проруби. Ежегодно в городе и в селах </w:t>
      </w:r>
      <w:r>
        <w:rPr>
          <w:bCs/>
          <w:sz w:val="28"/>
          <w:szCs w:val="28"/>
        </w:rPr>
        <w:t xml:space="preserve">Нижнекамского муниципального района </w:t>
      </w:r>
      <w:r>
        <w:rPr>
          <w:sz w:val="28"/>
          <w:szCs w:val="28"/>
        </w:rPr>
        <w:t xml:space="preserve">на водных объектах в преддверии праздника Крещения </w:t>
      </w:r>
      <w:r>
        <w:rPr>
          <w:sz w:val="28"/>
          <w:szCs w:val="28"/>
        </w:rPr>
        <w:t xml:space="preserve">оборудуются купели </w:t>
      </w:r>
      <w:r>
        <w:rPr>
          <w:sz w:val="28"/>
          <w:szCs w:val="28"/>
        </w:rPr>
        <w:t xml:space="preserve">для массового купания верующих.</w:t>
      </w:r>
      <w:r>
        <w:rPr>
          <w:sz w:val="28"/>
          <w:szCs w:val="28"/>
        </w:rPr>
      </w:r>
    </w:p>
    <w:p>
      <w:pPr>
        <w:pStyle w:val="710"/>
        <w:pBdr/>
        <w:shd w:val="clear" w:color="auto" w:fill="auto"/>
        <w:spacing w:after="0" w:before="0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создания условий для обеспечения безопасности людей на водных объектах в период проведения крещенских купаний</w:t>
      </w:r>
      <w:r>
        <w:rPr>
          <w:sz w:val="28"/>
          <w:szCs w:val="28"/>
        </w:rPr>
        <w:t xml:space="preserve">, в соответствии с Федеральным законом от 6 октября 2003 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30 декабря 2001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195-ФЗ «Кодекс Российской Федерации об Административных правонарушениях», со статьей 25 Федерального закона от 03 июня 2006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74-ФЗ «Водн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й кодекс Российской Федерации» </w:t>
      </w:r>
      <w:r>
        <w:rPr>
          <w:bCs/>
          <w:sz w:val="28"/>
          <w:szCs w:val="28"/>
        </w:rPr>
        <w:t xml:space="preserve">Комиссия</w:t>
      </w:r>
      <w:r>
        <w:rPr>
          <w:bCs/>
          <w:sz w:val="28"/>
          <w:szCs w:val="28"/>
        </w:rPr>
        <w:t xml:space="preserve"> по предупреждению и ликвидации </w:t>
      </w:r>
      <w:r>
        <w:rPr>
          <w:bCs/>
          <w:sz w:val="28"/>
          <w:szCs w:val="28"/>
        </w:rPr>
        <w:t xml:space="preserve">чрезвычайных ситуаций и обеспечению пожарной безопасности муниципального образования «Нижнекамский муниципальный район» Республики Татарстан </w:t>
      </w:r>
      <w:r>
        <w:rPr>
          <w:b/>
          <w:bCs/>
          <w:sz w:val="28"/>
          <w:szCs w:val="28"/>
        </w:rPr>
        <w:t xml:space="preserve">решила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0"/>
        <w:pBdr/>
        <w:spacing w:after="0"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твердить</w:t>
      </w:r>
      <w:r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проведения крещенских купаний 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иордани, установку ограждений мест купаний, подготовить купели: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п. Красный Ключ – на</w:t>
      </w:r>
      <w:r>
        <w:rPr>
          <w:rFonts w:ascii="Times New Roman" w:hAnsi="Times New Roman" w:cs="Times New Roman"/>
          <w:sz w:val="28"/>
          <w:szCs w:val="28"/>
        </w:rPr>
        <w:t xml:space="preserve"> родник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 xml:space="preserve">пгт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Камские Поляны – на роднике;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 xml:space="preserve">с. Старошешминск –на роднике;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>
        <w:rPr>
          <w:rFonts w:ascii="Times New Roman" w:hAnsi="Times New Roman" w:cs="Times New Roman"/>
          <w:sz w:val="28"/>
          <w:szCs w:val="28"/>
        </w:rPr>
        <w:t xml:space="preserve">с. Кармалы – в храме;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>
        <w:rPr>
          <w:rFonts w:ascii="Times New Roman" w:hAnsi="Times New Roman" w:cs="Times New Roman"/>
          <w:sz w:val="28"/>
          <w:szCs w:val="28"/>
        </w:rPr>
        <w:t xml:space="preserve">с.</w:t>
      </w:r>
      <w:r>
        <w:rPr>
          <w:rFonts w:ascii="Times New Roman" w:hAnsi="Times New Roman" w:cs="Times New Roman"/>
          <w:sz w:val="28"/>
          <w:szCs w:val="28"/>
        </w:rPr>
        <w:t xml:space="preserve"> Шереметьевка – на роднике;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>
        <w:rPr>
          <w:rFonts w:ascii="Times New Roman" w:hAnsi="Times New Roman" w:cs="Times New Roman"/>
          <w:sz w:val="28"/>
          <w:szCs w:val="28"/>
        </w:rPr>
        <w:t xml:space="preserve">с. Клятли – на роднике;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>
        <w:rPr>
          <w:rFonts w:ascii="Times New Roman" w:hAnsi="Times New Roman" w:cs="Times New Roman"/>
          <w:sz w:val="28"/>
          <w:szCs w:val="28"/>
        </w:rPr>
        <w:t xml:space="preserve">с. Ачи – на роднике;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</w:t>
      </w:r>
      <w:r>
        <w:rPr>
          <w:rFonts w:ascii="Times New Roman" w:hAnsi="Times New Roman" w:cs="Times New Roman"/>
          <w:sz w:val="28"/>
          <w:szCs w:val="28"/>
        </w:rPr>
        <w:t xml:space="preserve"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Прости – на роднике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 </w:t>
      </w:r>
      <w:r>
        <w:rPr>
          <w:rFonts w:ascii="Times New Roman" w:hAnsi="Times New Roman" w:cs="Times New Roman"/>
          <w:sz w:val="28"/>
          <w:szCs w:val="28"/>
        </w:rPr>
        <w:t xml:space="preserve"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Верхняя Уратьма – на роднике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 с. Б. Аты – на пруду.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0"/>
        <w:pBdr/>
        <w:shd w:val="clear" w:color="auto" w:fill="auto"/>
        <w:spacing w:after="0" w:before="0"/>
        <w:ind w:right="23" w:firstLine="709"/>
        <w:rPr>
          <w:sz w:val="28"/>
          <w:szCs w:val="28"/>
        </w:rPr>
      </w:pPr>
      <w:r>
        <w:rPr>
          <w:sz w:val="28"/>
          <w:szCs w:val="28"/>
        </w:rPr>
        <w:t xml:space="preserve">Информация, в случае изменении мест проведения крещенских купаний, после обследования состояния ледовой обстановки водоемов сотрудниками ГИМС ГУ МЧС РФ по РТ,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доведена дополнительно.</w:t>
      </w:r>
      <w:r>
        <w:rPr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Ответственность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 оборудование купелей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родниках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и безопасность проведения обрядовых купаний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Нижнекамском муниципальном районе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возложить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лав сельских поселений, на территории которых проводятся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крещенские купания.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Определить места для обогрева и переодевания участников крещенских купаний в районе купели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родник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и иных мест проведения мероприятий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Установить для организаторов проведения мероприятий требования к оборудованию купелей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родниках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соответствии с методическими рекомендациями,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твержденными Комиссией КЧС и ОПБ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Республики Татарстан от 20 декабря 2017 года № 41-17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(Приложение)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-оборудовать места (палатки) для обтирки полотенце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 и переодевания в сухую одежду;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-оборудовать спасательный пост для ока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зания первой доврачебной помощи;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-предусмотреть место для ра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змещения медицинских работников;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необходимости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организовать установку дополнительных приборов освещения 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ест обрядовых купаний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родниках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завершении купаний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иорданях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организовать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обваловку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выставлением запрещающих аншлагов.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Рекомендовать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Нижнекамскому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инспекторскому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отделению центра ГИМС (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Трубин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) установить контроль за оборудованием купелей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родниках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иных водных объектах,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организовать дежурство на время проведения мероприятий.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аместител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Нижнекамск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района (</w:t>
      </w:r>
      <w:r>
        <w:rPr>
          <w:rFonts w:ascii="Times New Roman" w:hAnsi="Times New Roman" w:cs="Times New Roman"/>
          <w:sz w:val="28"/>
          <w:szCs w:val="28"/>
        </w:rPr>
        <w:t xml:space="preserve">Сайфутдинов А.Р.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Управлению МВД России по Нижнекамскому району (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Бадретдинов Р.</w:t>
      </w:r>
      <w:r>
        <w:rPr>
          <w:rFonts w:ascii="Times New Roman" w:hAnsi="Times New Roman" w:cs="Times New Roman"/>
          <w:sz w:val="28"/>
          <w:szCs w:val="28"/>
        </w:rPr>
        <w:t xml:space="preserve">Ф.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Управлению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правоохранительными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ИК НМР </w:t>
      </w:r>
      <w:r>
        <w:rPr>
          <w:rFonts w:ascii="Times New Roman" w:hAnsi="Times New Roman" w:cs="Times New Roman"/>
          <w:sz w:val="28"/>
          <w:szCs w:val="28"/>
        </w:rPr>
        <w:t xml:space="preserve">(Крук А.Н.)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</w:t>
      </w:r>
      <w:r>
        <w:rPr>
          <w:rFonts w:ascii="Times New Roman" w:hAnsi="Times New Roman" w:cs="Times New Roman"/>
          <w:sz w:val="28"/>
          <w:szCs w:val="28"/>
        </w:rPr>
        <w:t xml:space="preserve">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патрулирование мест купаний;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охрану общественного порядка и безопасность дорожного движения н</w:t>
      </w:r>
      <w:r>
        <w:rPr>
          <w:rFonts w:ascii="Times New Roman" w:hAnsi="Times New Roman" w:cs="Times New Roman"/>
          <w:sz w:val="28"/>
          <w:szCs w:val="28"/>
        </w:rPr>
        <w:t xml:space="preserve">а местах проведения мероприятий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Рекомендовать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Отделу надзорной деятельности по Нижнекамскому муниципальному району (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Насибуллин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Ф.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) организовать дежурство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инспекторского состава отдела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культовых сооружениях во время проведения торжественных мероприятий для обеспечения пожарной безопасности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Рекомендовать территориально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отдел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Управления Роспотребнадзора по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Республике Татарстан в Нижнекамском районе и г.Нижнекамске (Изиятуллин Р.М.)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срок до 1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7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января 202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года произвести забор проб воды в оборудованных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купелях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майнах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), при необходимости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информировать организаторов и население о запрете проведения крещенских купаний.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Управлению здравоохранения (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Гильмутдинова Э.И.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организовать дежурство бригад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скорой медицинской помощи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п. Красный Ключ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 дежурство фельдшеров в сельских поселениях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местах обрядовых купаний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19 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нваря 202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согласно пункта 1 данного решения.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9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ООО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Комплексное предприятие благоустройства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города Нижнекамск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Закиров А.А.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согласованию с отделом ГИБДД (</w:t>
      </w:r>
      <w:r>
        <w:rPr>
          <w:rFonts w:ascii="Times New Roman" w:hAnsi="Times New Roman" w:eastAsia="Times New Roman"/>
          <w:color w:val="000000"/>
          <w:sz w:val="28"/>
          <w:szCs w:val="28"/>
          <w:lang w:val="en-US"/>
        </w:rPr>
        <w:t xml:space="preserve">A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хметзянов И.З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срок до 18 января 202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года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определить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мест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для стоянки автотранспорта у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мест проведения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купаний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населенных пунктах Красный Ключ,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Клятли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Нижнекамского муниципального района,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произвести расчистку согласованной территории от снега.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Начальнику отдела по связям с общественностью и СМИ Совета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(Ком</w:t>
      </w:r>
      <w:r>
        <w:rPr>
          <w:rFonts w:ascii="Times New Roman" w:hAnsi="Times New Roman" w:cs="Times New Roman"/>
          <w:sz w:val="28"/>
          <w:szCs w:val="28"/>
        </w:rPr>
        <w:t xml:space="preserve">арова-</w:t>
      </w:r>
      <w:r>
        <w:rPr>
          <w:rFonts w:ascii="Times New Roman" w:hAnsi="Times New Roman" w:cs="Times New Roman"/>
          <w:sz w:val="28"/>
          <w:szCs w:val="28"/>
        </w:rPr>
        <w:t xml:space="preserve">Енькова Я.С.)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проинформировать население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средствах массо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вой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информации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 ледовой обстановке, организованных местах купания, местах, где купание опасно, правилах безопасного поведения на льду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правилах купания в купели и оказания и оказания доврачебной помощи пострадавшим.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исполнения р</w:t>
      </w:r>
      <w:r>
        <w:rPr>
          <w:rFonts w:ascii="Times New Roman" w:hAnsi="Times New Roman" w:cs="Times New Roman"/>
          <w:sz w:val="28"/>
          <w:szCs w:val="28"/>
        </w:rPr>
        <w:t xml:space="preserve">аспоряже</w:t>
      </w:r>
      <w:r>
        <w:rPr>
          <w:rFonts w:ascii="Times New Roman" w:hAnsi="Times New Roman" w:cs="Times New Roman"/>
          <w:sz w:val="28"/>
          <w:szCs w:val="28"/>
        </w:rPr>
        <w:t xml:space="preserve">ния оставляю за собой.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hd w:val="clear" w:color="auto" w:fill="ffffff"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right="4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3"/>
        <w:pBdr/>
        <w:spacing/>
        <w:ind w:right="43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редседател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 по предупреждению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ликвидации чрезвычайных ситуаций и обеспечению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И.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</w:t>
      </w:r>
      <w:r>
        <w:rPr>
          <w:rFonts w:ascii="Times New Roman" w:hAnsi="Times New Roman" w:cs="Times New Roman"/>
          <w:b/>
          <w:sz w:val="28"/>
          <w:szCs w:val="28"/>
        </w:rPr>
        <w:t xml:space="preserve">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сполнительного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sz w:val="28"/>
          <w:szCs w:val="28"/>
        </w:rPr>
        <w:t xml:space="preserve">ижнекамск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03"/>
        <w:pBdr/>
        <w:spacing/>
        <w:ind w:right="-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М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М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Хайрутдинов</w:t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continuous"/>
      <w:pgSz w:h="16837" w:orient="portrait" w:w="11905"/>
      <w:pgMar w:top="899" w:right="706" w:bottom="993" w:left="1134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Microsoft Sans Serif">
    <w:panose1 w:val="020B0604020202020204"/>
  </w:font>
  <w:font w:name="Sylfaen">
    <w:panose1 w:val="010A0502050306030303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1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2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3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4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5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6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7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  <w:lvl w:ilvl="8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Sylfaen" w:hAnsi="Sylfaen" w:eastAsia="Sylfaen" w:cs="Sylfae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  <w:lang w:val="ru"/>
      </w:rPr>
      <w:start w:val="8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tabs>
          <w:tab w:val="num" w:leader="none" w:pos="1049"/>
        </w:tabs>
        <w:spacing/>
        <w:ind w:hanging="341" w:left="1049"/>
      </w:pPr>
      <w:rPr>
        <w:rFonts w:ascii="Wingdings" w:hAnsi="Wingdings"/>
        <w:color w:val="000000"/>
        <w:sz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694"/>
        </w:tabs>
        <w:spacing/>
        <w:ind w:hanging="360" w:left="169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414"/>
        </w:tabs>
        <w:spacing/>
        <w:ind w:hanging="360" w:left="241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134"/>
        </w:tabs>
        <w:spacing/>
        <w:ind w:hanging="360" w:left="313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54"/>
        </w:tabs>
        <w:spacing/>
        <w:ind w:hanging="360" w:left="385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574"/>
        </w:tabs>
        <w:spacing/>
        <w:ind w:hanging="360" w:left="457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294"/>
        </w:tabs>
        <w:spacing/>
        <w:ind w:hanging="360" w:left="529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014"/>
        </w:tabs>
        <w:spacing/>
        <w:ind w:hanging="360" w:left="601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734"/>
        </w:tabs>
        <w:spacing/>
        <w:ind w:hanging="360" w:left="6734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75" w:left="1084"/>
      </w:pPr>
      <w:rPr>
        <w:color w:val="000000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color w:val="000000"/>
      </w:rPr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8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  <w:sz w:val="26"/>
        <w:szCs w:val="26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b w:val="0"/>
        <w:i w:val="0"/>
        <w:sz w:val="24"/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25"/>
      </w:pPr>
      <w:rPr/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14"/>
  </w:num>
  <w:num w:numId="5">
    <w:abstractNumId w:val="12"/>
  </w:num>
  <w:num w:numId="6">
    <w:abstractNumId w:val="4"/>
  </w:num>
  <w:num w:numId="7">
    <w:abstractNumId w:val="3"/>
  </w:num>
  <w:num w:numId="8">
    <w:abstractNumId w:val="15"/>
  </w:num>
  <w:num w:numId="9">
    <w:abstractNumId w:val="18"/>
  </w:num>
  <w:num w:numId="10">
    <w:abstractNumId w:val="17"/>
  </w:num>
  <w:num w:numId="11">
    <w:abstractNumId w:val="19"/>
  </w:num>
  <w:num w:numId="12">
    <w:abstractNumId w:val="16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  <w:num w:numId="17">
    <w:abstractNumId w:val="13"/>
  </w:num>
  <w:num w:numId="18">
    <w:abstractNumId w:val="20"/>
  </w:num>
  <w:num w:numId="19">
    <w:abstractNumId w:val="7"/>
  </w:num>
  <w:num w:numId="20">
    <w:abstractNumId w:val="0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03"/>
    <w:next w:val="703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03"/>
    <w:next w:val="70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03"/>
    <w:next w:val="70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3"/>
    <w:next w:val="70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3"/>
    <w:next w:val="70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3"/>
    <w:next w:val="70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3"/>
    <w:next w:val="70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3"/>
    <w:next w:val="70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3"/>
    <w:next w:val="70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0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0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89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0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1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2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3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4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5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6">
    <w:name w:val="toc 9"/>
    <w:basedOn w:val="703"/>
    <w:next w:val="70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next w:val="703"/>
    <w:link w:val="703"/>
    <w:qFormat/>
    <w:pPr>
      <w:pBdr/>
      <w:spacing/>
      <w:ind/>
    </w:pPr>
    <w:rPr>
      <w:rFonts w:ascii="Tahoma" w:hAnsi="Tahoma" w:eastAsia="Tahoma" w:cs="Tahoma"/>
      <w:color w:val="000000"/>
      <w:sz w:val="24"/>
      <w:szCs w:val="24"/>
      <w:lang w:val="ru-RU" w:eastAsia="ru-RU" w:bidi="ar-SA"/>
    </w:rPr>
  </w:style>
  <w:style w:type="character" w:styleId="704">
    <w:name w:val="Основной шрифт абзаца"/>
    <w:next w:val="704"/>
    <w:link w:val="703"/>
    <w:uiPriority w:val="1"/>
    <w:semiHidden/>
    <w:unhideWhenUsed/>
    <w:pPr>
      <w:pBdr/>
      <w:spacing/>
      <w:ind/>
    </w:pPr>
  </w:style>
  <w:style w:type="table" w:styleId="705">
    <w:name w:val="Обычная таблица"/>
    <w:next w:val="705"/>
    <w:link w:val="703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>
    <w:name w:val="Нет списка"/>
    <w:next w:val="706"/>
    <w:link w:val="703"/>
    <w:uiPriority w:val="99"/>
    <w:semiHidden/>
    <w:unhideWhenUsed/>
    <w:pPr>
      <w:pBdr/>
      <w:spacing/>
      <w:ind/>
    </w:pPr>
  </w:style>
  <w:style w:type="character" w:styleId="707">
    <w:name w:val="Заголовок №1_"/>
    <w:next w:val="707"/>
    <w:link w:val="709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character" w:styleId="708">
    <w:name w:val="Основной текст_"/>
    <w:next w:val="708"/>
    <w:link w:val="710"/>
    <w:pPr>
      <w:pBdr/>
      <w:spacing/>
      <w:ind/>
    </w:pPr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709">
    <w:name w:val="Заголовок №1"/>
    <w:basedOn w:val="703"/>
    <w:next w:val="709"/>
    <w:link w:val="707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0">
    <w:name w:val="Основной текст2"/>
    <w:basedOn w:val="703"/>
    <w:next w:val="710"/>
    <w:link w:val="708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color w:val="000000"/>
      <w:sz w:val="27"/>
      <w:szCs w:val="27"/>
      <w:lang w:val="ru-RU" w:eastAsia="en-US"/>
    </w:rPr>
  </w:style>
  <w:style w:type="paragraph" w:styleId="711">
    <w:name w:val="Основной текст"/>
    <w:basedOn w:val="703"/>
    <w:next w:val="711"/>
    <w:link w:val="712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712">
    <w:name w:val="Основной текст Знак"/>
    <w:next w:val="712"/>
    <w:link w:val="711"/>
    <w:pPr>
      <w:pBdr/>
      <w:spacing/>
      <w:ind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3">
    <w:name w:val="Абзац списка"/>
    <w:basedOn w:val="703"/>
    <w:next w:val="713"/>
    <w:link w:val="703"/>
    <w:uiPriority w:val="34"/>
    <w:qFormat/>
    <w:pPr>
      <w:pBdr/>
      <w:spacing/>
      <w:ind w:left="708"/>
    </w:pPr>
  </w:style>
  <w:style w:type="paragraph" w:styleId="714">
    <w:name w:val="Основной текст4"/>
    <w:basedOn w:val="703"/>
    <w:next w:val="714"/>
    <w:link w:val="703"/>
    <w:pPr>
      <w:pBdr/>
      <w:shd w:val="clear" w:color="auto" w:fill="ffffff"/>
      <w:spacing w:after="300" w:before="1560" w:line="322" w:lineRule="exact"/>
      <w:ind/>
      <w:jc w:val="both"/>
    </w:pPr>
    <w:rPr>
      <w:rFonts w:ascii="Times New Roman" w:hAnsi="Times New Roman" w:eastAsia="Times New Roman" w:cs="Times New Roman"/>
      <w:spacing w:val="3"/>
      <w:sz w:val="25"/>
      <w:szCs w:val="25"/>
      <w:lang w:val="ru"/>
    </w:rPr>
  </w:style>
  <w:style w:type="paragraph" w:styleId="715">
    <w:name w:val="Основной текст15"/>
    <w:basedOn w:val="703"/>
    <w:next w:val="715"/>
    <w:link w:val="703"/>
    <w:pPr>
      <w:pBdr/>
      <w:shd w:val="clear" w:color="auto" w:fill="ffffff"/>
      <w:spacing w:line="322" w:lineRule="exact"/>
      <w:ind/>
      <w:jc w:val="both"/>
    </w:pPr>
    <w:rPr>
      <w:rFonts w:ascii="Sylfaen" w:hAnsi="Sylfaen" w:eastAsia="Sylfaen" w:cs="Sylfaen"/>
      <w:spacing w:val="6"/>
      <w:lang w:val="ru"/>
    </w:rPr>
  </w:style>
  <w:style w:type="character" w:styleId="716">
    <w:name w:val="Основной текст + 13;5 pt;Малые прописные;Интервал 0 pt"/>
    <w:next w:val="716"/>
    <w:link w:val="703"/>
    <w:pPr>
      <w:pBdr/>
      <w:spacing/>
      <w:ind/>
    </w:pPr>
    <w:rPr>
      <w:rFonts w:ascii="Sylfaen" w:hAnsi="Sylfaen" w:eastAsia="Sylfaen" w:cs="Sylfaen"/>
      <w:smallCaps/>
      <w:spacing w:val="14"/>
      <w:sz w:val="26"/>
      <w:szCs w:val="26"/>
      <w:shd w:val="clear" w:color="auto" w:fill="ffffff"/>
    </w:rPr>
  </w:style>
  <w:style w:type="character" w:styleId="717">
    <w:name w:val="Основной текст1"/>
    <w:next w:val="717"/>
    <w:link w:val="703"/>
    <w:pPr>
      <w:pBdr/>
      <w:spacing/>
      <w:ind/>
    </w:pPr>
    <w:rPr>
      <w:rFonts w:ascii="Times New Roman" w:hAnsi="Times New Roman" w:eastAsia="Times New Roman" w:cs="Times New Roman"/>
      <w:spacing w:val="23"/>
      <w:sz w:val="25"/>
      <w:szCs w:val="25"/>
      <w:shd w:val="clear" w:color="auto" w:fill="ffffff"/>
    </w:rPr>
  </w:style>
  <w:style w:type="paragraph" w:styleId="718">
    <w:name w:val="Основной текст3"/>
    <w:basedOn w:val="703"/>
    <w:next w:val="718"/>
    <w:link w:val="703"/>
    <w:pPr>
      <w:pBdr/>
      <w:shd w:val="clear" w:color="auto" w:fill="ffffff"/>
      <w:spacing w:after="720" w:line="0" w:lineRule="atLeast"/>
      <w:ind/>
      <w:jc w:val="both"/>
    </w:pPr>
    <w:rPr>
      <w:rFonts w:ascii="Times New Roman" w:hAnsi="Times New Roman" w:eastAsia="Times New Roman" w:cs="Times New Roman"/>
      <w:spacing w:val="2"/>
      <w:sz w:val="25"/>
      <w:szCs w:val="25"/>
      <w:lang w:val="ru"/>
    </w:rPr>
  </w:style>
  <w:style w:type="character" w:styleId="719">
    <w:name w:val="Основной текст + 13 pt"/>
    <w:next w:val="719"/>
    <w:link w:val="703"/>
    <w:pPr>
      <w:pBdr/>
      <w:spacing/>
      <w:ind/>
    </w:pPr>
    <w:rPr>
      <w:rFonts w:ascii="Times New Roman" w:hAnsi="Times New Roman" w:eastAsia="Times New Roman" w:cs="Times New Roman"/>
      <w:spacing w:val="-3"/>
      <w:sz w:val="25"/>
      <w:szCs w:val="25"/>
      <w:shd w:val="clear" w:color="auto" w:fill="ffffff"/>
    </w:rPr>
  </w:style>
  <w:style w:type="character" w:styleId="720">
    <w:name w:val="Заголовок №12"/>
    <w:next w:val="720"/>
    <w:link w:val="703"/>
    <w:pPr>
      <w:pBdr/>
      <w:spacing/>
      <w:ind/>
    </w:pPr>
    <w:rPr>
      <w:rFonts w:ascii="Times New Roman" w:hAnsi="Times New Roman" w:eastAsia="Times New Roman" w:cs="Times New Roman"/>
      <w:b/>
      <w:bCs/>
      <w:spacing w:val="0"/>
      <w:sz w:val="26"/>
      <w:szCs w:val="26"/>
      <w:shd w:val="clear" w:color="auto" w:fill="ffffff"/>
    </w:rPr>
  </w:style>
  <w:style w:type="paragraph" w:styleId="721">
    <w:name w:val="Заголовок №11"/>
    <w:basedOn w:val="703"/>
    <w:next w:val="721"/>
    <w:link w:val="703"/>
    <w:pPr>
      <w:pBdr/>
      <w:shd w:val="clear" w:color="auto" w:fill="ffffff"/>
      <w:spacing w:line="240" w:lineRule="atLeast"/>
      <w:ind/>
      <w:outlineLvl w:val="0"/>
    </w:pPr>
    <w:rPr>
      <w:rFonts w:ascii="Times New Roman" w:hAnsi="Times New Roman" w:eastAsia="Microsoft Sans Serif" w:cs="Times New Roman"/>
      <w:b/>
      <w:bCs/>
      <w:color w:val="000000"/>
      <w:sz w:val="26"/>
      <w:szCs w:val="26"/>
    </w:rPr>
  </w:style>
  <w:style w:type="paragraph" w:styleId="722">
    <w:name w:val="Текст выноски"/>
    <w:basedOn w:val="703"/>
    <w:next w:val="722"/>
    <w:link w:val="72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23">
    <w:name w:val="Текст выноски Знак"/>
    <w:next w:val="723"/>
    <w:link w:val="722"/>
    <w:uiPriority w:val="99"/>
    <w:semiHidden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  <w:style w:type="paragraph" w:styleId="724">
    <w:name w:val="Верхний колонтитул"/>
    <w:basedOn w:val="703"/>
    <w:next w:val="724"/>
    <w:link w:val="72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 w:eastAsia="Calibri" w:cs="Times New Roman"/>
      <w:color w:val="000000"/>
      <w:sz w:val="27"/>
      <w:szCs w:val="27"/>
      <w:lang w:eastAsia="en-US"/>
    </w:rPr>
  </w:style>
  <w:style w:type="character" w:styleId="725">
    <w:name w:val="Верхний колонтитул Знак"/>
    <w:next w:val="725"/>
    <w:link w:val="724"/>
    <w:uiPriority w:val="99"/>
    <w:semiHidden/>
    <w:pPr>
      <w:pBdr/>
      <w:spacing/>
      <w:ind/>
    </w:pPr>
    <w:rPr>
      <w:rFonts w:ascii="Times New Roman" w:hAnsi="Times New Roman"/>
      <w:sz w:val="27"/>
      <w:szCs w:val="27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</dc:creator>
  <cp:revision>85</cp:revision>
  <dcterms:created xsi:type="dcterms:W3CDTF">2019-12-27T11:12:00Z</dcterms:created>
  <dcterms:modified xsi:type="dcterms:W3CDTF">2026-01-30T06:33:42Z</dcterms:modified>
  <cp:version>1048576</cp:version>
</cp:coreProperties>
</file>